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spacing w:line="600" w:lineRule="exact"/>
        <w:ind w:firstLine="640"/>
        <w:rPr>
          <w:rFonts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欢迎报名丨“技创杯”医疗器械技术创新与应用技能大赛通知</w:t>
      </w:r>
    </w:p>
    <w:p>
      <w:pPr>
        <w:overflowPunct/>
        <w:spacing w:line="600" w:lineRule="exact"/>
        <w:ind w:firstLine="420"/>
        <w:rPr>
          <w:rFonts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515620</wp:posOffset>
            </wp:positionV>
            <wp:extent cx="5328285" cy="6868160"/>
            <wp:effectExtent l="0" t="0" r="6350" b="8890"/>
            <wp:wrapNone/>
            <wp:docPr id="1" name="图片 1" descr="C:/Users/lenovo/Desktop/03.jpg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Desktop/03.jpg0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6" b="1036"/>
                    <a:stretch>
                      <a:fillRect/>
                    </a:stretch>
                  </pic:blipFill>
                  <pic:spPr>
                    <a:xfrm>
                      <a:off x="0" y="0"/>
                      <a:ext cx="5341786" cy="68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Cs/>
          <w:color w:val="auto"/>
          <w:sz w:val="32"/>
          <w:szCs w:val="32"/>
        </w:rPr>
        <w:br w:type="page"/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一、组织机构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指导单位：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中国技术市场协会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主办单位：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中国技术市场协会医疗器械科技创新专业委员会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联合主办单位：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中国技术交易所有限公司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承办单位：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北京元昊东方科技创新发展有限公司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支持单位（排名不分先后）：</w:t>
      </w:r>
      <w:r>
        <w:rPr>
          <w:rFonts w:ascii="宋体" w:hAnsi="宋体" w:eastAsia="宋体" w:cs="宋体"/>
          <w:bCs/>
          <w:color w:val="auto"/>
          <w:sz w:val="30"/>
          <w:szCs w:val="30"/>
        </w:rPr>
        <w:t xml:space="preserve"> </w:t>
      </w:r>
    </w:p>
    <w:p>
      <w:pPr>
        <w:overflowPunct/>
        <w:spacing w:line="600" w:lineRule="exact"/>
        <w:ind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清华海峡研究院，北京中科老专家技术中心，中国医学科学院生物医学工程研究所，北京大学口腔医院，国家康复辅具研究中心附属康复医院，北京诚安世纪医疗器械有限公司，天津市高校校友会科技经济融合研究会，天津市卫生健康科技成果转化信息平台&amp;天津市医药科学研究所，河北省医药行业协会，山东省食品药品职业学院，上海市科技成果评价研究院，天津市食品药品质量监督管理协会，中国老年保健协会老年医学分会，河北省医学科技创新和转化协会，中国医学科学院药物研究所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山东大学口腔医院，东南大学苏州医疗器械研究院，青岛大学附属医院，，，（不断更新中）</w:t>
      </w:r>
    </w:p>
    <w:p>
      <w:pPr>
        <w:overflowPunct/>
        <w:spacing w:line="600" w:lineRule="exact"/>
        <w:ind w:left="0" w:leftChars="0" w:firstLine="0" w:firstLineChars="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媒体支持（排名不分先后）：</w:t>
      </w:r>
    </w:p>
    <w:p>
      <w:pPr>
        <w:overflowPunct/>
        <w:spacing w:line="600" w:lineRule="exact"/>
        <w:ind w:left="0" w:leftChars="0" w:firstLine="0" w:firstLineChars="0"/>
        <w:rPr>
          <w:rFonts w:ascii="宋体" w:hAnsi="宋体" w:eastAsia="宋体" w:cs="宋体"/>
          <w:bCs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新华网，人民网，中国网，《中国医疗设备》杂志社，，，（不断更新中）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二、组别设置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首届“技创杯”医疗器械技术创新与应用技能大赛，设置心脑血管器械、骨科器械、口腔器械、眼科器械、影像器械、微创器械、生命支持器械、康复器械、其它有源器械、其它无源器械、医疗机器人、体外诊断、医美产品及质控和感染控制等相关组别。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三、奖项设置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本届“技创杯”医疗器械技术创新与应用技能大赛奖项设置团体奖和个人奖：特等奖、一等奖、二等奖、三等奖、优秀奖，获奖者颁发奖牌和荣誉证书。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对优秀作品予以优先展示、推介、推广。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优秀项目优先推荐“中国技术市场金桥奖”（国家科学技术奖励工作办公室批准设立，奖励证书编号【国科奖证字第0056号】）</w:t>
      </w:r>
      <w:r>
        <w:fldChar w:fldCharType="begin"/>
      </w:r>
      <w:r>
        <w:instrText xml:space="preserve"> HYPERLINK "http://www.ctm.org.cn/site/term/27.html" </w:instrText>
      </w:r>
      <w:r>
        <w:fldChar w:fldCharType="separate"/>
      </w: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http://www.ctm.org.cn/site/term/27.html</w:t>
      </w: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fldChar w:fldCharType="end"/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四、评审专家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本届大赛评审专家主要在专委会智库专家中遴选</w:t>
      </w:r>
      <w:r>
        <w:rPr>
          <w:rFonts w:ascii="宋体" w:hAnsi="宋体" w:eastAsia="宋体" w:cs="宋体"/>
          <w:bCs/>
          <w:color w:val="auto"/>
          <w:sz w:val="30"/>
          <w:szCs w:val="30"/>
        </w:rPr>
        <w:t>(参加相应组别大赛者回避)，大赛组委会将根据专家专业特点，随机选取专家组成各组别及总决赛专家评审组。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专家智库官网：</w:t>
      </w:r>
      <w:r>
        <w:rPr>
          <w:rFonts w:ascii="宋体" w:hAnsi="宋体" w:eastAsia="宋体" w:cs="宋体"/>
          <w:bCs/>
          <w:color w:val="auto"/>
          <w:sz w:val="30"/>
          <w:szCs w:val="30"/>
        </w:rPr>
        <w:t>https://www.ctmdt.org.cn/zjzk/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五、报名须知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报名截止日期2024年5月30日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大赛官网http://ctmsc.org.cn/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联系地址：北京市石景山区双峪路55号 邮编：100043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联 系 人：张元 18601391918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电子邮件：chinadc2023@sina.com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六、大赛文件下载：</w:t>
      </w:r>
      <w:r>
        <w:rPr>
          <w:rFonts w:ascii="宋体" w:hAnsi="宋体" w:eastAsia="宋体" w:cs="宋体"/>
          <w:bCs/>
          <w:color w:val="FF0000"/>
          <w:sz w:val="30"/>
          <w:szCs w:val="30"/>
        </w:rPr>
        <w:t xml:space="preserve"> 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“技创杯”技能大赛文件（PDF版）</w:t>
      </w:r>
    </w:p>
    <w:p>
      <w:pPr>
        <w:overflowPunct/>
        <w:spacing w:line="600" w:lineRule="exact"/>
        <w:ind w:firstLine="600"/>
        <w:rPr>
          <w:rFonts w:ascii="宋体" w:hAnsi="宋体" w:eastAsia="宋体" w:cs="宋体"/>
          <w:bCs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“技创杯”技能大赛报名表（WORD版）</w:t>
      </w:r>
      <w:r>
        <w:rPr>
          <w:rFonts w:hint="eastAsia" w:ascii="宋体" w:hAnsi="宋体" w:eastAsia="宋体" w:cs="宋体"/>
          <w:bCs/>
          <w:color w:val="FF0000"/>
          <w:sz w:val="30"/>
          <w:szCs w:val="30"/>
        </w:rPr>
        <w:t> </w:t>
      </w: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kYjUzMzY5MzM3NDE2ZjliNGY4OWQ1N2IwZTcyY2YifQ=="/>
  </w:docVars>
  <w:rsids>
    <w:rsidRoot w:val="003E1C66"/>
    <w:rsid w:val="000767BB"/>
    <w:rsid w:val="0009219F"/>
    <w:rsid w:val="001077C9"/>
    <w:rsid w:val="001D64EC"/>
    <w:rsid w:val="002438B9"/>
    <w:rsid w:val="002A0AA0"/>
    <w:rsid w:val="002F7DB8"/>
    <w:rsid w:val="00346491"/>
    <w:rsid w:val="003A533D"/>
    <w:rsid w:val="003E1C66"/>
    <w:rsid w:val="005034C9"/>
    <w:rsid w:val="00507942"/>
    <w:rsid w:val="00607F65"/>
    <w:rsid w:val="006F5FFF"/>
    <w:rsid w:val="00757ECD"/>
    <w:rsid w:val="00840BCB"/>
    <w:rsid w:val="008A4E57"/>
    <w:rsid w:val="008D5133"/>
    <w:rsid w:val="009949D1"/>
    <w:rsid w:val="00B22F3D"/>
    <w:rsid w:val="00B67960"/>
    <w:rsid w:val="00BD646F"/>
    <w:rsid w:val="00C56E78"/>
    <w:rsid w:val="00E06DB0"/>
    <w:rsid w:val="00F5623F"/>
    <w:rsid w:val="00FB01E0"/>
    <w:rsid w:val="00FF60FC"/>
    <w:rsid w:val="0F874508"/>
    <w:rsid w:val="196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hd w:val="clear" w:color="auto" w:fill="FFFFFF"/>
      <w:overflowPunct w:val="0"/>
      <w:adjustRightInd w:val="0"/>
      <w:snapToGrid w:val="0"/>
      <w:spacing w:line="360" w:lineRule="auto"/>
      <w:ind w:firstLine="200" w:firstLineChars="200"/>
      <w:jc w:val="both"/>
    </w:pPr>
    <w:rPr>
      <w:rFonts w:ascii="微软雅黑" w:hAnsi="微软雅黑" w:eastAsia="微软雅黑" w:cstheme="minorBidi"/>
      <w:color w:val="0066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14"/>
    <w:autoRedefine/>
    <w:qFormat/>
    <w:uiPriority w:val="9"/>
    <w:pPr>
      <w:ind w:firstLine="420"/>
      <w:outlineLvl w:val="0"/>
    </w:pPr>
    <w:rPr>
      <w:rFonts w:cs="宋体"/>
      <w:b/>
      <w:bCs/>
      <w:snapToGrid w:val="0"/>
      <w:kern w:val="0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outlineLvl w:val="1"/>
    </w:pPr>
    <w:rPr>
      <w:rFonts w:cs="宋体"/>
      <w:b/>
      <w:snapToGrid w:val="0"/>
      <w:kern w:val="0"/>
    </w:rPr>
  </w:style>
  <w:style w:type="paragraph" w:styleId="4">
    <w:name w:val="heading 3"/>
    <w:basedOn w:val="1"/>
    <w:next w:val="1"/>
    <w:link w:val="16"/>
    <w:autoRedefine/>
    <w:unhideWhenUsed/>
    <w:qFormat/>
    <w:uiPriority w:val="9"/>
    <w:pPr>
      <w:ind w:firstLine="420"/>
      <w:outlineLvl w:val="2"/>
    </w:pPr>
    <w:rPr>
      <w:rFonts w:cs="宋体"/>
      <w:b/>
      <w:snapToGrid w:val="0"/>
      <w:kern w:val="0"/>
      <w:szCs w:val="32"/>
    </w:rPr>
  </w:style>
  <w:style w:type="paragraph" w:styleId="5">
    <w:name w:val="heading 4"/>
    <w:basedOn w:val="1"/>
    <w:next w:val="1"/>
    <w:link w:val="17"/>
    <w:autoRedefine/>
    <w:unhideWhenUsed/>
    <w:qFormat/>
    <w:uiPriority w:val="9"/>
    <w:pPr>
      <w:outlineLvl w:val="3"/>
    </w:pPr>
    <w:rPr>
      <w:rFonts w:cs="宋体"/>
      <w:b/>
      <w:snapToGrid w:val="0"/>
      <w:kern w:val="0"/>
    </w:rPr>
  </w:style>
  <w:style w:type="character" w:default="1" w:styleId="10">
    <w:name w:val="Default Paragraph Font"/>
    <w:autoRedefine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unhideWhenUsed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hd w:val="clear" w:color="auto" w:fill="auto"/>
      <w:overflowPunct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autoRedefine/>
    <w:semiHidden/>
    <w:unhideWhenUsed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autoRedefine/>
    <w:qFormat/>
    <w:uiPriority w:val="9"/>
    <w:rPr>
      <w:rFonts w:ascii="微软雅黑" w:hAnsi="微软雅黑" w:eastAsia="微软雅黑" w:cs="宋体"/>
      <w:b/>
      <w:bCs/>
      <w:snapToGrid w:val="0"/>
      <w:color w:val="006600"/>
      <w:kern w:val="0"/>
      <w:shd w:val="clear" w:color="auto" w:fill="FFFFFF"/>
    </w:rPr>
  </w:style>
  <w:style w:type="character" w:customStyle="1" w:styleId="15">
    <w:name w:val="标题 2 字符"/>
    <w:basedOn w:val="10"/>
    <w:link w:val="3"/>
    <w:autoRedefine/>
    <w:qFormat/>
    <w:uiPriority w:val="9"/>
    <w:rPr>
      <w:rFonts w:ascii="微软雅黑" w:hAnsi="微软雅黑" w:eastAsia="微软雅黑" w:cs="宋体"/>
      <w:b/>
      <w:snapToGrid w:val="0"/>
      <w:color w:val="006600"/>
      <w:kern w:val="0"/>
    </w:rPr>
  </w:style>
  <w:style w:type="character" w:customStyle="1" w:styleId="16">
    <w:name w:val="标题 3 字符"/>
    <w:basedOn w:val="10"/>
    <w:link w:val="4"/>
    <w:autoRedefine/>
    <w:qFormat/>
    <w:uiPriority w:val="9"/>
    <w:rPr>
      <w:rFonts w:ascii="微软雅黑" w:hAnsi="微软雅黑" w:eastAsia="微软雅黑" w:cs="宋体"/>
      <w:b/>
      <w:snapToGrid w:val="0"/>
      <w:color w:val="006600"/>
      <w:kern w:val="0"/>
      <w:szCs w:val="32"/>
      <w:shd w:val="clear" w:color="auto" w:fill="FFFFFF"/>
    </w:rPr>
  </w:style>
  <w:style w:type="character" w:customStyle="1" w:styleId="17">
    <w:name w:val="标题 4 字符"/>
    <w:basedOn w:val="10"/>
    <w:link w:val="5"/>
    <w:autoRedefine/>
    <w:uiPriority w:val="9"/>
    <w:rPr>
      <w:rFonts w:ascii="微软雅黑" w:hAnsi="微软雅黑" w:eastAsia="微软雅黑" w:cs="宋体"/>
      <w:b/>
      <w:snapToGrid w:val="0"/>
      <w:color w:val="006600"/>
      <w:kern w:val="0"/>
    </w:rPr>
  </w:style>
  <w:style w:type="character" w:customStyle="1" w:styleId="18">
    <w:name w:val="rich_media_meta"/>
    <w:basedOn w:val="10"/>
    <w:autoRedefine/>
    <w:uiPriority w:val="0"/>
  </w:style>
  <w:style w:type="character" w:customStyle="1" w:styleId="19">
    <w:name w:val="页眉 字符"/>
    <w:basedOn w:val="10"/>
    <w:link w:val="7"/>
    <w:autoRedefine/>
    <w:uiPriority w:val="99"/>
    <w:rPr>
      <w:rFonts w:ascii="微软雅黑" w:hAnsi="微软雅黑" w:eastAsia="微软雅黑"/>
      <w:color w:val="006600"/>
      <w:sz w:val="18"/>
      <w:szCs w:val="18"/>
      <w:shd w:val="clear" w:color="auto" w:fill="FFFFFF"/>
    </w:rPr>
  </w:style>
  <w:style w:type="character" w:customStyle="1" w:styleId="20">
    <w:name w:val="页脚 字符"/>
    <w:basedOn w:val="10"/>
    <w:link w:val="6"/>
    <w:autoRedefine/>
    <w:qFormat/>
    <w:uiPriority w:val="99"/>
    <w:rPr>
      <w:rFonts w:ascii="微软雅黑" w:hAnsi="微软雅黑" w:eastAsia="微软雅黑"/>
      <w:color w:val="006600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916</Characters>
  <Lines>7</Lines>
  <Paragraphs>2</Paragraphs>
  <TotalTime>197</TotalTime>
  <ScaleCrop>false</ScaleCrop>
  <LinksUpToDate>false</LinksUpToDate>
  <CharactersWithSpaces>1074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2024-03-15T01:16:00Z</dcterms:created>
  <dc:creator>xd fan</dc:creator>
  <cp:lastModifiedBy>开心</cp:lastModifiedBy>
  <dcterms:modified xsi:type="dcterms:W3CDTF">2024-03-20T02:59:01Z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76DC187EF9A34C96B320CC7E54AAF4D6_12</vt:lpwstr>
  </property>
</Properties>
</file>